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E9A2DD">
      <w:pPr>
        <w:wordWrap w:val="0"/>
        <w:topLinePunct/>
        <w:spacing w:line="600" w:lineRule="exact"/>
        <w:jc w:val="center"/>
        <w:outlineLvl w:val="0"/>
        <w:rPr>
          <w:rFonts w:ascii="Times New Roman" w:hAnsi="Times New Roman" w:eastAsia="方正小标宋简体" w:cs="Times New Roman"/>
          <w:sz w:val="44"/>
          <w:szCs w:val="44"/>
        </w:rPr>
      </w:pPr>
      <w:bookmarkStart w:id="1" w:name="_GoBack"/>
      <w:bookmarkEnd w:id="1"/>
      <w:bookmarkStart w:id="0" w:name="_Hlk160005232"/>
      <w:r>
        <w:rPr>
          <w:rFonts w:ascii="Times New Roman" w:hAnsi="Times New Roman" w:eastAsia="方正小标宋简体" w:cs="Times New Roman"/>
          <w:bCs/>
          <w:sz w:val="44"/>
          <w:szCs w:val="44"/>
        </w:rPr>
        <w:t>苏州工业园区市场监督管理局</w:t>
      </w:r>
    </w:p>
    <w:p w14:paraId="3419B1C2">
      <w:pPr>
        <w:wordWrap w:val="0"/>
        <w:topLinePunct/>
        <w:spacing w:line="560" w:lineRule="exact"/>
        <w:jc w:val="center"/>
        <w:outlineLvl w:val="0"/>
        <w:rPr>
          <w:rFonts w:ascii="Times New Roman" w:hAnsi="Times New Roman" w:eastAsia="方正小标宋简体" w:cs="Times New Roman"/>
          <w:bCs/>
          <w:color w:val="000000"/>
          <w:sz w:val="44"/>
          <w:szCs w:val="44"/>
        </w:rPr>
      </w:pPr>
      <w:r>
        <w:rPr>
          <w:rFonts w:ascii="Times New Roman" w:hAnsi="Times New Roman" w:eastAsia="方正小标宋简体" w:cs="Times New Roman"/>
          <w:bCs/>
          <w:color w:val="000000"/>
          <w:sz w:val="44"/>
          <w:szCs w:val="44"/>
        </w:rPr>
        <w:t>行政处罚决定书</w:t>
      </w:r>
    </w:p>
    <w:p w14:paraId="1C251259">
      <w:pPr>
        <w:widowControl/>
        <w:snapToGrid w:val="0"/>
        <w:spacing w:line="520" w:lineRule="exact"/>
        <w:ind w:right="55"/>
        <w:jc w:val="center"/>
        <w:rPr>
          <w:rFonts w:ascii="Times New Roman" w:hAnsi="仿宋_GB2312" w:eastAsia="仿宋_GB2312" w:cs="仿宋_GB2312"/>
          <w:bCs/>
          <w:color w:val="000000"/>
          <w:sz w:val="32"/>
          <w:szCs w:val="32"/>
        </w:rPr>
      </w:pPr>
      <w:r>
        <w:rPr>
          <w:rFonts w:hint="eastAsia" w:ascii="Times New Roman" w:hAnsi="Times New Roman" w:eastAsia="仿宋_GB2312" w:cs="仿宋_GB2312"/>
          <w:bCs/>
          <w:color w:val="000000"/>
          <w:sz w:val="32"/>
          <w:szCs w:val="32"/>
        </w:rPr>
        <w:t>苏园</w:t>
      </w:r>
      <w:r>
        <w:rPr>
          <w:rFonts w:hint="eastAsia" w:ascii="Times New Roman" w:hAnsi="仿宋_GB2312" w:eastAsia="仿宋_GB2312" w:cs="仿宋_GB2312"/>
          <w:bCs/>
          <w:color w:val="000000"/>
          <w:sz w:val="32"/>
          <w:szCs w:val="32"/>
        </w:rPr>
        <w:t>市监处罚〔</w:t>
      </w:r>
      <w:r>
        <w:rPr>
          <w:rFonts w:ascii="Times New Roman" w:hAnsi="Times New Roman" w:eastAsia="仿宋_GB2312" w:cs="仿宋_GB2312"/>
          <w:bCs/>
          <w:color w:val="000000"/>
          <w:sz w:val="32"/>
          <w:szCs w:val="32"/>
        </w:rPr>
        <w:t>202</w:t>
      </w:r>
      <w:r>
        <w:rPr>
          <w:rFonts w:hint="eastAsia" w:ascii="Times New Roman" w:hAnsi="Times New Roman" w:eastAsia="仿宋_GB2312" w:cs="仿宋_GB2312"/>
          <w:bCs/>
          <w:color w:val="000000"/>
          <w:sz w:val="32"/>
          <w:szCs w:val="32"/>
          <w:lang w:val="en-US" w:eastAsia="zh-CN"/>
        </w:rPr>
        <w:t>5</w:t>
      </w:r>
      <w:r>
        <w:rPr>
          <w:rFonts w:hint="eastAsia" w:ascii="Times New Roman" w:hAnsi="仿宋_GB2312" w:eastAsia="仿宋_GB2312" w:cs="仿宋_GB2312"/>
          <w:bCs/>
          <w:color w:val="000000"/>
          <w:sz w:val="32"/>
          <w:szCs w:val="32"/>
        </w:rPr>
        <w:t>〕</w:t>
      </w:r>
      <w:r>
        <w:rPr>
          <w:rFonts w:ascii="Times New Roman" w:hAnsi="Times New Roman" w:eastAsia="仿宋_GB2312" w:cs="Mongolian Baiti"/>
          <w:color w:val="000000"/>
          <w:sz w:val="32"/>
          <w:szCs w:val="32"/>
        </w:rPr>
        <mc:AlternateContent>
          <mc:Choice Requires="wps">
            <w:drawing>
              <wp:anchor distT="0" distB="0" distL="114300" distR="114300" simplePos="0" relativeHeight="251661312" behindDoc="0" locked="0" layoutInCell="1" allowOverlap="0">
                <wp:simplePos x="0" y="0"/>
                <wp:positionH relativeFrom="column">
                  <wp:posOffset>-38100</wp:posOffset>
                </wp:positionH>
                <wp:positionV relativeFrom="paragraph">
                  <wp:posOffset>20801965</wp:posOffset>
                </wp:positionV>
                <wp:extent cx="5761990" cy="0"/>
                <wp:effectExtent l="0" t="9525" r="10160" b="9525"/>
                <wp:wrapNone/>
                <wp:docPr id="7" name="直接箭头连接符 7"/>
                <wp:cNvGraphicFramePr/>
                <a:graphic xmlns:a="http://schemas.openxmlformats.org/drawingml/2006/main">
                  <a:graphicData uri="http://schemas.microsoft.com/office/word/2010/wordprocessingShape">
                    <wps:wsp>
                      <wps:cNvCnPr>
                        <a:cxnSpLocks noChangeShapeType="1"/>
                      </wps:cNvCnPr>
                      <wps:spPr bwMode="auto">
                        <a:xfrm>
                          <a:off x="0" y="0"/>
                          <a:ext cx="5761990" cy="0"/>
                        </a:xfrm>
                        <a:prstGeom prst="straightConnector1">
                          <a:avLst/>
                        </a:prstGeom>
                        <a:noFill/>
                        <a:ln w="19050" cmpd="sng">
                          <a:solidFill>
                            <a:srgbClr val="000000"/>
                          </a:solidFill>
                          <a:round/>
                        </a:ln>
                      </wps:spPr>
                      <wps:bodyPr/>
                    </wps:wsp>
                  </a:graphicData>
                </a:graphic>
              </wp:anchor>
            </w:drawing>
          </mc:Choice>
          <mc:Fallback>
            <w:pict>
              <v:shape id="_x0000_s1026" o:spid="_x0000_s1026" o:spt="32" type="#_x0000_t32" style="position:absolute;left:0pt;margin-left:-3pt;margin-top:1637.95pt;height:0pt;width:453.7pt;z-index:251661312;mso-width-relative:page;mso-height-relative:page;" filled="f" stroked="t" coordsize="21600,21600" o:allowoverlap="f" o:gfxdata="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hnLSfWAAAADAEAAA8AAAAAAAAAAQAgAAAAIgAAAGRycy9kb3ducmV2Lnht&#10;bFBLAQIUABQAAAAIAIdO4kDmu7fN+wEAAMoDAAAOAAAAAAAAAAEAIAAAACUBAABkcnMvZTJvRG9j&#10;LnhtbFBLBQYAAAAABgAGAFkBAACSBQAAAAA=&#10;">
                <v:fill on="f" focussize="0,0"/>
                <v:stroke weight="1.5pt" color="#000000" joinstyle="round"/>
                <v:imagedata o:title=""/>
                <o:lock v:ext="edit" aspectratio="f"/>
              </v:shape>
            </w:pict>
          </mc:Fallback>
        </mc:AlternateContent>
      </w:r>
      <w:r>
        <w:rPr>
          <w:rFonts w:hint="eastAsia" w:ascii="Times New Roman" w:hAnsi="Times New Roman" w:eastAsia="仿宋_GB2312" w:cs="Mongolian Baiti"/>
          <w:color w:val="000000"/>
          <w:sz w:val="32"/>
          <w:szCs w:val="32"/>
          <w:lang w:val="en-US" w:eastAsia="zh-CN"/>
        </w:rPr>
        <w:t>00249</w:t>
      </w:r>
      <w:r>
        <w:rPr>
          <w:rFonts w:hint="eastAsia" w:ascii="Times New Roman" w:hAnsi="仿宋_GB2312" w:eastAsia="仿宋_GB2312" w:cs="仿宋_GB2312"/>
          <w:bCs/>
          <w:color w:val="000000"/>
          <w:sz w:val="32"/>
          <w:szCs w:val="32"/>
        </w:rPr>
        <w:t>号</w:t>
      </w:r>
    </w:p>
    <w:p w14:paraId="221BBA74">
      <w:pPr>
        <w:keepNext w:val="0"/>
        <w:keepLines w:val="0"/>
        <w:pageBreakBefore w:val="0"/>
        <w:widowControl w:val="0"/>
        <w:kinsoku/>
        <w:wordWrap/>
        <w:overflowPunct/>
        <w:topLinePunct w:val="0"/>
        <w:autoSpaceDE/>
        <w:autoSpaceDN/>
        <w:bidi w:val="0"/>
        <w:adjustRightInd/>
        <w:snapToGrid/>
        <w:spacing w:before="157" w:beforeLines="50" w:line="520" w:lineRule="exact"/>
        <w:ind w:left="142" w:hanging="142"/>
        <w:textAlignment w:val="auto"/>
        <w:rPr>
          <w:rFonts w:hint="eastAsia" w:ascii="仿宋_GB2312" w:hAnsi="仿宋_GB2312" w:eastAsia="仿宋_GB2312" w:cs="仿宋_GB2312"/>
          <w:b w:val="0"/>
          <w:bCs w:val="0"/>
          <w:color w:val="000000" w:themeColor="text1"/>
          <w:w w:val="97"/>
          <w:sz w:val="32"/>
          <w:szCs w:val="32"/>
          <w:lang w:val="en-US" w:eastAsia="zh-CN"/>
          <w14:textFill>
            <w14:solidFill>
              <w14:schemeClr w14:val="tx1"/>
            </w14:solidFill>
          </w14:textFill>
        </w:rPr>
      </w:pPr>
      <w:r>
        <w:rPr>
          <w:rFonts w:hint="eastAsia" w:ascii="仿宋_GB2312" w:hAnsi="仿宋_GB2312" w:eastAsia="仿宋_GB2312" w:cs="仿宋_GB2312"/>
          <w:b w:val="0"/>
          <w:bCs w:val="0"/>
          <w:kern w:val="1"/>
          <w:sz w:val="32"/>
          <w:szCs w:val="32"/>
        </w:rPr>
        <w:t>当事人：</w:t>
      </w:r>
      <w:r>
        <w:rPr>
          <w:rFonts w:hint="eastAsia" w:ascii="仿宋_GB2312" w:hAnsi="仿宋_GB2312" w:eastAsia="仿宋_GB2312" w:cs="仿宋_GB2312"/>
          <w:b w:val="0"/>
          <w:bCs w:val="0"/>
          <w:kern w:val="1"/>
          <w:sz w:val="32"/>
          <w:szCs w:val="32"/>
          <w:lang w:val="en-US" w:eastAsia="zh-CN"/>
        </w:rPr>
        <w:t>曹*飞</w:t>
      </w:r>
    </w:p>
    <w:p w14:paraId="15B88288">
      <w:pPr>
        <w:keepNext w:val="0"/>
        <w:keepLines w:val="0"/>
        <w:pageBreakBefore w:val="0"/>
        <w:widowControl w:val="0"/>
        <w:kinsoku/>
        <w:wordWrap/>
        <w:overflowPunct/>
        <w:topLinePunct w:val="0"/>
        <w:bidi w:val="0"/>
        <w:snapToGrid/>
        <w:spacing w:line="520" w:lineRule="exact"/>
        <w:ind w:left="140" w:hanging="14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身份证号码：</w:t>
      </w:r>
      <w:r>
        <w:rPr>
          <w:rFonts w:hint="eastAsia" w:ascii="仿宋_GB2312" w:hAnsi="仿宋_GB2312" w:eastAsia="仿宋_GB2312" w:cs="仿宋_GB2312"/>
          <w:b w:val="0"/>
          <w:bCs w:val="0"/>
          <w:color w:val="000000"/>
          <w:sz w:val="32"/>
          <w:szCs w:val="32"/>
        </w:rPr>
        <w:t>320</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rPr>
        <w:t>52</w:t>
      </w:r>
    </w:p>
    <w:p w14:paraId="66383533">
      <w:pPr>
        <w:keepNext w:val="0"/>
        <w:keepLines w:val="0"/>
        <w:pageBreakBefore w:val="0"/>
        <w:widowControl w:val="0"/>
        <w:kinsoku/>
        <w:wordWrap/>
        <w:overflowPunct/>
        <w:topLinePunct w:val="0"/>
        <w:bidi w:val="0"/>
        <w:snapToGrid/>
        <w:spacing w:line="520" w:lineRule="exact"/>
        <w:ind w:left="140" w:hanging="14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住所：苏州工业园区</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rPr>
        <w:t>家园</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rPr>
        <w:t>区1</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w:t>
      </w:r>
    </w:p>
    <w:p w14:paraId="19E735AD">
      <w:pPr>
        <w:keepNext w:val="0"/>
        <w:keepLines w:val="0"/>
        <w:pageBreakBefore w:val="0"/>
        <w:widowControl w:val="0"/>
        <w:kinsoku/>
        <w:wordWrap/>
        <w:overflowPunct/>
        <w:topLinePunct w:val="0"/>
        <w:autoSpaceDE/>
        <w:autoSpaceDN/>
        <w:bidi w:val="0"/>
        <w:adjustRightInd/>
        <w:snapToGrid/>
        <w:spacing w:before="157" w:beforeLines="50"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lang w:val="en-US" w:eastAsia="zh-CN"/>
        </w:rPr>
        <w:t>2025年5月30日本局收到盱眙县市场监管局的案件移送函（盱市监案移〔2025〕22号），显示</w:t>
      </w:r>
      <w:r>
        <w:rPr>
          <w:rFonts w:hint="eastAsia" w:ascii="仿宋_GB2312" w:hAnsi="仿宋_GB2312" w:eastAsia="仿宋_GB2312" w:cs="仿宋_GB2312"/>
          <w:b w:val="0"/>
          <w:bCs w:val="0"/>
          <w:sz w:val="32"/>
          <w:szCs w:val="32"/>
          <w:lang w:val="en-US" w:eastAsia="zh-CN"/>
        </w:rPr>
        <w:t>当事人</w:t>
      </w:r>
      <w:r>
        <w:rPr>
          <w:rFonts w:hint="eastAsia" w:ascii="仿宋_GB2312" w:hAnsi="仿宋_GB2312" w:eastAsia="仿宋_GB2312" w:cs="仿宋_GB2312"/>
          <w:b w:val="0"/>
          <w:bCs w:val="0"/>
          <w:color w:val="000000"/>
          <w:sz w:val="32"/>
          <w:szCs w:val="32"/>
          <w:lang w:val="en-US" w:eastAsia="zh-CN"/>
        </w:rPr>
        <w:t>在京东商城开设名为“OceanSelect买手店”的店铺，并通过该店铺销售硬性隐形眼镜护理液。</w:t>
      </w: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月1</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日，经审批，</w:t>
      </w:r>
      <w:r>
        <w:rPr>
          <w:rFonts w:hint="eastAsia" w:ascii="仿宋_GB2312" w:hAnsi="仿宋_GB2312" w:eastAsia="仿宋_GB2312" w:cs="仿宋_GB2312"/>
          <w:b w:val="0"/>
          <w:bCs w:val="0"/>
          <w:sz w:val="32"/>
          <w:szCs w:val="32"/>
          <w:lang w:val="en-US" w:eastAsia="zh-CN"/>
        </w:rPr>
        <w:t>本</w:t>
      </w:r>
      <w:r>
        <w:rPr>
          <w:rFonts w:hint="eastAsia" w:ascii="仿宋_GB2312" w:hAnsi="仿宋_GB2312" w:eastAsia="仿宋_GB2312" w:cs="仿宋_GB2312"/>
          <w:b w:val="0"/>
          <w:bCs w:val="0"/>
          <w:sz w:val="32"/>
          <w:szCs w:val="32"/>
        </w:rPr>
        <w:t>局对当事人涉嫌未经许可从事第三类医疗器械经营活动的行为予以立案调查。</w:t>
      </w:r>
      <w:r>
        <w:rPr>
          <w:rFonts w:hint="eastAsia" w:ascii="仿宋_GB2312" w:hAnsi="仿宋_GB2312" w:eastAsia="仿宋_GB2312" w:cs="仿宋_GB2312"/>
          <w:b w:val="0"/>
          <w:bCs w:val="0"/>
          <w:sz w:val="32"/>
          <w:szCs w:val="32"/>
          <w:lang w:val="en-US" w:eastAsia="zh-CN"/>
        </w:rPr>
        <w:t>案件调查中，本局未采取行政强制措施。</w:t>
      </w:r>
    </w:p>
    <w:p w14:paraId="5A7CD77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经查，当事人</w:t>
      </w:r>
      <w:r>
        <w:rPr>
          <w:rFonts w:hint="eastAsia" w:ascii="仿宋_GB2312" w:hAnsi="仿宋_GB2312" w:eastAsia="仿宋_GB2312" w:cs="仿宋_GB2312"/>
          <w:b w:val="0"/>
          <w:bCs w:val="0"/>
          <w:color w:val="000000"/>
          <w:sz w:val="32"/>
          <w:szCs w:val="32"/>
          <w:lang w:val="en-US" w:eastAsia="zh-CN"/>
        </w:rPr>
        <w:t>在京东开设名为“OceanSelect买手店”的个人店铺，并在未取得第三类医疗器械经营许可的情况下，销售无中文标签的培克能硬性隐形眼镜护理液。根据国家药监局数据，该款护理液在我国已取得医疗器械注册证，属于进口第三类医疗器械。当事人自2025年2月起通过线上店铺销售涉案护理液，共售出4组，销售金额为432元。</w:t>
      </w:r>
    </w:p>
    <w:p w14:paraId="11EA3DA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根据案件调查结果，</w:t>
      </w:r>
      <w:r>
        <w:rPr>
          <w:rFonts w:hint="eastAsia" w:ascii="仿宋_GB2312" w:hAnsi="仿宋_GB2312" w:eastAsia="仿宋_GB2312" w:cs="仿宋_GB2312"/>
          <w:b w:val="0"/>
          <w:bCs w:val="0"/>
          <w:color w:val="000000"/>
          <w:sz w:val="32"/>
          <w:szCs w:val="32"/>
          <w:lang w:val="en-US" w:eastAsia="zh-CN"/>
        </w:rPr>
        <w:t>本局</w:t>
      </w:r>
      <w:r>
        <w:rPr>
          <w:rFonts w:hint="eastAsia" w:ascii="仿宋_GB2312" w:hAnsi="仿宋_GB2312" w:eastAsia="仿宋_GB2312" w:cs="仿宋_GB2312"/>
          <w:b w:val="0"/>
          <w:bCs w:val="0"/>
          <w:color w:val="000000"/>
          <w:sz w:val="32"/>
          <w:szCs w:val="32"/>
        </w:rPr>
        <w:t>查明</w:t>
      </w:r>
      <w:r>
        <w:rPr>
          <w:rFonts w:hint="eastAsia" w:ascii="仿宋_GB2312" w:hAnsi="仿宋_GB2312" w:eastAsia="仿宋_GB2312" w:cs="仿宋_GB2312"/>
          <w:b w:val="0"/>
          <w:bCs w:val="0"/>
          <w:sz w:val="32"/>
          <w:szCs w:val="32"/>
          <w:lang w:val="en-US" w:eastAsia="zh-CN"/>
        </w:rPr>
        <w:t>当事人</w:t>
      </w:r>
      <w:r>
        <w:rPr>
          <w:rFonts w:hint="eastAsia" w:ascii="仿宋_GB2312" w:hAnsi="仿宋_GB2312" w:eastAsia="仿宋_GB2312" w:cs="仿宋_GB2312"/>
          <w:b w:val="0"/>
          <w:bCs w:val="0"/>
          <w:color w:val="000000"/>
          <w:sz w:val="32"/>
          <w:szCs w:val="32"/>
        </w:rPr>
        <w:t>存在以下行为：</w:t>
      </w:r>
    </w:p>
    <w:p w14:paraId="2C7CFF5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一、未取得医疗器械经营许可证经营涉案</w:t>
      </w:r>
      <w:r>
        <w:rPr>
          <w:rFonts w:hint="eastAsia" w:ascii="仿宋_GB2312" w:hAnsi="仿宋_GB2312" w:eastAsia="仿宋_GB2312" w:cs="仿宋_GB2312"/>
          <w:b w:val="0"/>
          <w:bCs w:val="0"/>
          <w:color w:val="000000"/>
          <w:sz w:val="32"/>
          <w:szCs w:val="32"/>
          <w:lang w:val="en-US" w:eastAsia="zh-CN"/>
        </w:rPr>
        <w:t>护理液，货值金额为432元，违法所得为432元</w:t>
      </w:r>
      <w:r>
        <w:rPr>
          <w:rFonts w:hint="eastAsia" w:ascii="仿宋_GB2312" w:hAnsi="仿宋_GB2312" w:eastAsia="仿宋_GB2312" w:cs="仿宋_GB2312"/>
          <w:b w:val="0"/>
          <w:bCs w:val="0"/>
          <w:color w:val="000000"/>
          <w:sz w:val="32"/>
          <w:szCs w:val="32"/>
        </w:rPr>
        <w:t>；</w:t>
      </w:r>
    </w:p>
    <w:p w14:paraId="7D35830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二、经营无中文标签的涉案</w:t>
      </w:r>
      <w:r>
        <w:rPr>
          <w:rFonts w:hint="eastAsia" w:ascii="仿宋_GB2312" w:hAnsi="仿宋_GB2312" w:eastAsia="仿宋_GB2312" w:cs="仿宋_GB2312"/>
          <w:b w:val="0"/>
          <w:bCs w:val="0"/>
          <w:color w:val="000000"/>
          <w:sz w:val="32"/>
          <w:szCs w:val="32"/>
          <w:lang w:val="en-US" w:eastAsia="zh-CN"/>
        </w:rPr>
        <w:t>医疗器械，货值金额为432元，违法所得为432元</w:t>
      </w:r>
      <w:r>
        <w:rPr>
          <w:rFonts w:hint="eastAsia" w:ascii="仿宋_GB2312" w:hAnsi="仿宋_GB2312" w:eastAsia="仿宋_GB2312" w:cs="仿宋_GB2312"/>
          <w:b w:val="0"/>
          <w:bCs w:val="0"/>
          <w:color w:val="000000"/>
          <w:sz w:val="32"/>
          <w:szCs w:val="32"/>
        </w:rPr>
        <w:t>。</w:t>
      </w:r>
    </w:p>
    <w:p w14:paraId="27238D48">
      <w:pPr>
        <w:keepNext w:val="0"/>
        <w:keepLines w:val="0"/>
        <w:pageBreakBefore w:val="0"/>
        <w:widowControl w:val="0"/>
        <w:kinsoku/>
        <w:wordWrap/>
        <w:overflowPunct/>
        <w:topLinePunct w:val="0"/>
        <w:bidi w:val="0"/>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上述事实，主要有以下证据证明：</w:t>
      </w:r>
    </w:p>
    <w:p w14:paraId="19B7EF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当事人</w:t>
      </w:r>
      <w:r>
        <w:rPr>
          <w:rFonts w:hint="eastAsia" w:ascii="仿宋_GB2312" w:hAnsi="仿宋_GB2312" w:eastAsia="仿宋_GB2312" w:cs="仿宋_GB2312"/>
          <w:b w:val="0"/>
          <w:bCs w:val="0"/>
          <w:sz w:val="32"/>
          <w:szCs w:val="32"/>
          <w:lang w:eastAsia="zh-CN"/>
        </w:rPr>
        <w:t>曹</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飞</w:t>
      </w:r>
      <w:r>
        <w:rPr>
          <w:rFonts w:hint="eastAsia" w:ascii="仿宋_GB2312" w:hAnsi="仿宋_GB2312" w:eastAsia="仿宋_GB2312" w:cs="仿宋_GB2312"/>
          <w:b w:val="0"/>
          <w:bCs w:val="0"/>
          <w:sz w:val="32"/>
          <w:szCs w:val="32"/>
        </w:rPr>
        <w:t>的身份证复印件；</w:t>
      </w:r>
    </w:p>
    <w:p w14:paraId="78DA636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2、对当事人制作的</w:t>
      </w:r>
      <w:r>
        <w:rPr>
          <w:rFonts w:hint="eastAsia" w:ascii="仿宋_GB2312" w:hAnsi="仿宋_GB2312" w:eastAsia="仿宋_GB2312" w:cs="仿宋_GB2312"/>
          <w:b w:val="0"/>
          <w:bCs w:val="0"/>
          <w:sz w:val="32"/>
          <w:szCs w:val="32"/>
        </w:rPr>
        <w:t>《现场笔录》；</w:t>
      </w:r>
    </w:p>
    <w:p w14:paraId="572A8A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3、对当事人制作的</w:t>
      </w:r>
      <w:r>
        <w:rPr>
          <w:rFonts w:hint="eastAsia" w:ascii="仿宋_GB2312" w:hAnsi="仿宋_GB2312" w:eastAsia="仿宋_GB2312" w:cs="仿宋_GB2312"/>
          <w:b w:val="0"/>
          <w:bCs w:val="0"/>
          <w:sz w:val="32"/>
          <w:szCs w:val="32"/>
        </w:rPr>
        <w:t>《询问笔录》；</w:t>
      </w:r>
    </w:p>
    <w:p w14:paraId="1B4E54C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color w:val="000000"/>
          <w:sz w:val="32"/>
          <w:szCs w:val="32"/>
          <w:lang w:val="en-US" w:eastAsia="zh-CN"/>
        </w:rPr>
        <w:t>盱眙县市场监管局</w:t>
      </w:r>
      <w:r>
        <w:rPr>
          <w:rFonts w:hint="eastAsia" w:ascii="仿宋_GB2312" w:hAnsi="仿宋_GB2312" w:eastAsia="仿宋_GB2312" w:cs="仿宋_GB2312"/>
          <w:b w:val="0"/>
          <w:bCs w:val="0"/>
          <w:sz w:val="32"/>
          <w:szCs w:val="32"/>
        </w:rPr>
        <w:t>的案件移送函（</w:t>
      </w:r>
      <w:r>
        <w:rPr>
          <w:rFonts w:hint="eastAsia" w:ascii="仿宋_GB2312" w:hAnsi="仿宋_GB2312" w:eastAsia="仿宋_GB2312" w:cs="仿宋_GB2312"/>
          <w:b w:val="0"/>
          <w:bCs w:val="0"/>
          <w:color w:val="000000"/>
          <w:sz w:val="32"/>
          <w:szCs w:val="32"/>
          <w:lang w:val="en-US" w:eastAsia="zh-CN"/>
        </w:rPr>
        <w:t>盱市监案移〔2025〕22号</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及其附件</w:t>
      </w:r>
      <w:r>
        <w:rPr>
          <w:rFonts w:hint="eastAsia" w:ascii="仿宋_GB2312" w:hAnsi="仿宋_GB2312" w:eastAsia="仿宋_GB2312" w:cs="仿宋_GB2312"/>
          <w:b w:val="0"/>
          <w:bCs w:val="0"/>
          <w:sz w:val="32"/>
          <w:szCs w:val="32"/>
        </w:rPr>
        <w:t>；</w:t>
      </w:r>
    </w:p>
    <w:p w14:paraId="0DD29B2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color w:val="000000"/>
          <w:sz w:val="32"/>
          <w:szCs w:val="32"/>
          <w:lang w:val="en-US" w:eastAsia="zh-CN"/>
        </w:rPr>
        <w:t>OceanSelect买手店页面截图</w:t>
      </w:r>
      <w:r>
        <w:rPr>
          <w:rFonts w:hint="eastAsia" w:ascii="仿宋_GB2312" w:hAnsi="仿宋_GB2312" w:eastAsia="仿宋_GB2312" w:cs="仿宋_GB2312"/>
          <w:b w:val="0"/>
          <w:bCs w:val="0"/>
          <w:sz w:val="32"/>
          <w:szCs w:val="32"/>
        </w:rPr>
        <w:t>；</w:t>
      </w:r>
    </w:p>
    <w:p w14:paraId="7CBD073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6、当事人提供的情况说明</w:t>
      </w:r>
      <w:r>
        <w:rPr>
          <w:rFonts w:hint="eastAsia" w:ascii="仿宋_GB2312" w:hAnsi="仿宋_GB2312" w:eastAsia="仿宋_GB2312" w:cs="仿宋_GB2312"/>
          <w:b w:val="0"/>
          <w:bCs w:val="0"/>
          <w:sz w:val="32"/>
          <w:szCs w:val="32"/>
        </w:rPr>
        <w:t>；</w:t>
      </w:r>
    </w:p>
    <w:p w14:paraId="717ED7A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7、供货者的微信名片截图及微信支付记录</w:t>
      </w:r>
      <w:r>
        <w:rPr>
          <w:rFonts w:hint="eastAsia" w:ascii="仿宋_GB2312" w:hAnsi="仿宋_GB2312" w:eastAsia="仿宋_GB2312" w:cs="仿宋_GB2312"/>
          <w:b w:val="0"/>
          <w:bCs w:val="0"/>
          <w:sz w:val="32"/>
          <w:szCs w:val="32"/>
          <w:lang w:eastAsia="zh-CN"/>
        </w:rPr>
        <w:t>；</w:t>
      </w:r>
    </w:p>
    <w:p w14:paraId="4C83466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8、角膜接触镜护理液的进口医疗器械注册证。</w:t>
      </w:r>
    </w:p>
    <w:p w14:paraId="623DB2B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以上证明材料证明如下：</w:t>
      </w:r>
    </w:p>
    <w:p w14:paraId="3E5388F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证据1、</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证明了当事人</w:t>
      </w:r>
      <w:r>
        <w:rPr>
          <w:rFonts w:hint="eastAsia" w:ascii="仿宋_GB2312" w:hAnsi="仿宋_GB2312" w:eastAsia="仿宋_GB2312" w:cs="仿宋_GB2312"/>
          <w:b w:val="0"/>
          <w:bCs w:val="0"/>
          <w:sz w:val="32"/>
          <w:szCs w:val="32"/>
          <w:lang w:eastAsia="zh-CN"/>
        </w:rPr>
        <w:t>曹</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飞</w:t>
      </w:r>
      <w:r>
        <w:rPr>
          <w:rFonts w:hint="eastAsia" w:ascii="仿宋_GB2312" w:hAnsi="仿宋_GB2312" w:eastAsia="仿宋_GB2312" w:cs="仿宋_GB2312"/>
          <w:b w:val="0"/>
          <w:bCs w:val="0"/>
          <w:sz w:val="32"/>
          <w:szCs w:val="32"/>
        </w:rPr>
        <w:t>的主体资格</w:t>
      </w:r>
      <w:r>
        <w:rPr>
          <w:rFonts w:hint="eastAsia" w:ascii="仿宋_GB2312" w:hAnsi="仿宋_GB2312" w:eastAsia="仿宋_GB2312" w:cs="仿宋_GB2312"/>
          <w:b w:val="0"/>
          <w:bCs w:val="0"/>
          <w:sz w:val="32"/>
          <w:szCs w:val="32"/>
          <w:lang w:val="en-US" w:eastAsia="zh-CN"/>
        </w:rPr>
        <w:t>及案件来源</w:t>
      </w:r>
      <w:r>
        <w:rPr>
          <w:rFonts w:hint="eastAsia" w:ascii="仿宋_GB2312" w:hAnsi="仿宋_GB2312" w:eastAsia="仿宋_GB2312" w:cs="仿宋_GB2312"/>
          <w:b w:val="0"/>
          <w:bCs w:val="0"/>
          <w:sz w:val="32"/>
          <w:szCs w:val="32"/>
        </w:rPr>
        <w:t>。</w:t>
      </w:r>
    </w:p>
    <w:p w14:paraId="1A0CED9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证据3、</w:t>
      </w:r>
      <w:r>
        <w:rPr>
          <w:rFonts w:hint="eastAsia" w:ascii="仿宋_GB2312" w:hAnsi="仿宋_GB2312" w:eastAsia="仿宋_GB2312" w:cs="仿宋_GB2312"/>
          <w:b w:val="0"/>
          <w:bCs w:val="0"/>
          <w:sz w:val="32"/>
          <w:szCs w:val="32"/>
          <w:lang w:val="en-US" w:eastAsia="zh-CN"/>
        </w:rPr>
        <w:t>4、5、6</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证明了涉案</w:t>
      </w:r>
      <w:r>
        <w:rPr>
          <w:rFonts w:hint="eastAsia" w:ascii="仿宋_GB2312" w:hAnsi="仿宋_GB2312" w:eastAsia="仿宋_GB2312" w:cs="仿宋_GB2312"/>
          <w:b w:val="0"/>
          <w:bCs w:val="0"/>
          <w:sz w:val="32"/>
          <w:szCs w:val="32"/>
          <w:lang w:val="en-US" w:eastAsia="zh-CN"/>
        </w:rPr>
        <w:t>护理液</w:t>
      </w:r>
      <w:r>
        <w:rPr>
          <w:rFonts w:hint="eastAsia" w:ascii="仿宋_GB2312" w:hAnsi="仿宋_GB2312" w:eastAsia="仿宋_GB2312" w:cs="仿宋_GB2312"/>
          <w:b w:val="0"/>
          <w:bCs w:val="0"/>
          <w:sz w:val="32"/>
          <w:szCs w:val="32"/>
        </w:rPr>
        <w:t>为第三类医疗器械，其标签不符合规定</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color w:val="000000"/>
          <w:sz w:val="32"/>
          <w:szCs w:val="32"/>
          <w:lang w:val="en-US" w:eastAsia="zh-CN"/>
        </w:rPr>
        <w:t>货值金额为432元，违法所得为432元</w:t>
      </w:r>
      <w:r>
        <w:rPr>
          <w:rFonts w:hint="eastAsia" w:ascii="仿宋_GB2312" w:hAnsi="仿宋_GB2312" w:eastAsia="仿宋_GB2312" w:cs="仿宋_GB2312"/>
          <w:b w:val="0"/>
          <w:bCs w:val="0"/>
          <w:sz w:val="32"/>
          <w:szCs w:val="32"/>
        </w:rPr>
        <w:t>。</w:t>
      </w:r>
    </w:p>
    <w:p w14:paraId="22BEADB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证据</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证明了</w:t>
      </w:r>
      <w:r>
        <w:rPr>
          <w:rFonts w:hint="eastAsia" w:ascii="仿宋_GB2312" w:hAnsi="仿宋_GB2312" w:eastAsia="仿宋_GB2312" w:cs="仿宋_GB2312"/>
          <w:b w:val="0"/>
          <w:bCs w:val="0"/>
          <w:sz w:val="32"/>
          <w:szCs w:val="32"/>
          <w:lang w:val="en-US" w:eastAsia="zh-CN"/>
        </w:rPr>
        <w:t>涉案护理液的来源。</w:t>
      </w:r>
    </w:p>
    <w:p w14:paraId="0BB47FD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证据2、3、</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5</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证明了当事人存在未经许可从事经营第三类医疗器械的行为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已自行改正</w:t>
      </w:r>
      <w:r>
        <w:rPr>
          <w:rFonts w:hint="eastAsia" w:ascii="仿宋_GB2312" w:hAnsi="仿宋_GB2312" w:eastAsia="仿宋_GB2312" w:cs="仿宋_GB2312"/>
          <w:b w:val="0"/>
          <w:bCs w:val="0"/>
          <w:sz w:val="32"/>
          <w:szCs w:val="32"/>
        </w:rPr>
        <w:t>。</w:t>
      </w:r>
    </w:p>
    <w:p w14:paraId="4F849AC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本局于202</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日向当事人送达行政处罚告知书（苏园市监罚告〔202</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00349</w:t>
      </w:r>
      <w:r>
        <w:rPr>
          <w:rFonts w:hint="eastAsia" w:ascii="仿宋_GB2312" w:hAnsi="仿宋_GB2312" w:eastAsia="仿宋_GB2312" w:cs="仿宋_GB2312"/>
          <w:b w:val="0"/>
          <w:bCs w:val="0"/>
          <w:sz w:val="32"/>
          <w:szCs w:val="32"/>
        </w:rPr>
        <w:t>号）</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并告知其陈述、申辩的权利</w:t>
      </w:r>
      <w:r>
        <w:rPr>
          <w:rFonts w:hint="eastAsia" w:ascii="仿宋_GB2312" w:hAnsi="仿宋_GB2312" w:eastAsia="仿宋_GB2312" w:cs="仿宋_GB2312"/>
          <w:b w:val="0"/>
          <w:bCs w:val="0"/>
          <w:sz w:val="32"/>
          <w:szCs w:val="32"/>
        </w:rPr>
        <w:t>。当事人在法定期限内未进行陈述、申辩。</w:t>
      </w:r>
    </w:p>
    <w:p w14:paraId="3ECCFCA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本局认为，</w:t>
      </w:r>
      <w:r>
        <w:rPr>
          <w:rFonts w:hint="eastAsia" w:ascii="仿宋_GB2312" w:hAnsi="仿宋_GB2312" w:eastAsia="仿宋_GB2312" w:cs="仿宋_GB2312"/>
          <w:b w:val="0"/>
          <w:bCs w:val="0"/>
          <w:sz w:val="32"/>
          <w:szCs w:val="32"/>
          <w:lang w:val="en-US" w:eastAsia="zh-CN"/>
        </w:rPr>
        <w:t>当事人</w:t>
      </w:r>
      <w:r>
        <w:rPr>
          <w:rFonts w:hint="eastAsia" w:ascii="仿宋_GB2312" w:hAnsi="仿宋_GB2312" w:eastAsia="仿宋_GB2312" w:cs="仿宋_GB2312"/>
          <w:b w:val="0"/>
          <w:bCs w:val="0"/>
          <w:sz w:val="32"/>
          <w:szCs w:val="32"/>
        </w:rPr>
        <w:t>在未取得医疗器械经营许可证的情况下</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网络销售第三类医疗器械，构成</w:t>
      </w:r>
      <w:r>
        <w:rPr>
          <w:rFonts w:hint="eastAsia" w:ascii="仿宋_GB2312" w:hAnsi="仿宋_GB2312" w:eastAsia="仿宋_GB2312" w:cs="仿宋_GB2312"/>
          <w:b w:val="0"/>
          <w:bCs w:val="0"/>
          <w:sz w:val="32"/>
          <w:szCs w:val="32"/>
        </w:rPr>
        <w:t>未经许可从事第三类医疗器械经营活动</w:t>
      </w:r>
      <w:r>
        <w:rPr>
          <w:rFonts w:hint="eastAsia" w:ascii="仿宋_GB2312" w:hAnsi="仿宋_GB2312" w:eastAsia="仿宋_GB2312" w:cs="仿宋_GB2312"/>
          <w:b w:val="0"/>
          <w:bCs w:val="0"/>
          <w:sz w:val="32"/>
          <w:szCs w:val="32"/>
          <w:lang w:val="en-US" w:eastAsia="zh-CN"/>
        </w:rPr>
        <w:t>的违法行为</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 xml:space="preserve">违反了《医疗器械网络销售监督管理办法》第七条第一款“从事医疗器械网络销售的企业应当是依法取得医疗器械生产许可、经营许可或者办理备案的医疗器械生产经营企业。法律法规规定不需要办理许可或者备案的除外”的规定。   </w:t>
      </w:r>
    </w:p>
    <w:p w14:paraId="6ACE69D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当事人</w:t>
      </w:r>
      <w:r>
        <w:rPr>
          <w:rFonts w:hint="eastAsia" w:ascii="仿宋_GB2312" w:hAnsi="仿宋_GB2312" w:eastAsia="仿宋_GB2312" w:cs="仿宋_GB2312"/>
          <w:b w:val="0"/>
          <w:bCs w:val="0"/>
          <w:color w:val="000000"/>
          <w:sz w:val="32"/>
          <w:szCs w:val="32"/>
        </w:rPr>
        <w:t>经营无中文标签的涉案</w:t>
      </w:r>
      <w:r>
        <w:rPr>
          <w:rFonts w:hint="eastAsia" w:ascii="仿宋_GB2312" w:hAnsi="仿宋_GB2312" w:eastAsia="仿宋_GB2312" w:cs="仿宋_GB2312"/>
          <w:b w:val="0"/>
          <w:bCs w:val="0"/>
          <w:color w:val="000000"/>
          <w:sz w:val="32"/>
          <w:szCs w:val="32"/>
          <w:lang w:eastAsia="zh-CN"/>
        </w:rPr>
        <w:t>护理液</w:t>
      </w:r>
      <w:r>
        <w:rPr>
          <w:rFonts w:hint="eastAsia" w:ascii="仿宋_GB2312" w:hAnsi="仿宋_GB2312" w:eastAsia="仿宋_GB2312" w:cs="仿宋_GB2312"/>
          <w:b w:val="0"/>
          <w:bCs w:val="0"/>
          <w:color w:val="000000"/>
          <w:sz w:val="32"/>
          <w:szCs w:val="32"/>
        </w:rPr>
        <w:t>，构成了</w:t>
      </w:r>
      <w:r>
        <w:rPr>
          <w:rFonts w:hint="eastAsia" w:ascii="仿宋_GB2312" w:hAnsi="仿宋_GB2312" w:eastAsia="仿宋_GB2312" w:cs="仿宋_GB2312"/>
          <w:b w:val="0"/>
          <w:bCs w:val="0"/>
          <w:sz w:val="32"/>
          <w:szCs w:val="32"/>
        </w:rPr>
        <w:t>经营标签不符合规定的医疗器械的违法行为，违反了《医疗器械监督管理条例》第五十七条第二款“进口的医疗器械应当有中文说明书、中文标签</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”的规定。</w:t>
      </w:r>
    </w:p>
    <w:p w14:paraId="3537A1C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鉴于</w:t>
      </w:r>
      <w:r>
        <w:rPr>
          <w:rFonts w:hint="eastAsia" w:ascii="仿宋_GB2312" w:hAnsi="仿宋_GB2312" w:eastAsia="仿宋_GB2312" w:cs="仿宋_GB2312"/>
          <w:b w:val="0"/>
          <w:bCs w:val="0"/>
          <w:sz w:val="32"/>
          <w:szCs w:val="32"/>
          <w:lang w:eastAsia="zh-CN"/>
        </w:rPr>
        <w:t>当事人</w:t>
      </w:r>
      <w:r>
        <w:rPr>
          <w:rFonts w:hint="eastAsia" w:ascii="仿宋_GB2312" w:hAnsi="仿宋_GB2312" w:eastAsia="仿宋_GB2312" w:cs="仿宋_GB2312"/>
          <w:b w:val="0"/>
          <w:bCs w:val="0"/>
          <w:sz w:val="32"/>
          <w:szCs w:val="32"/>
        </w:rPr>
        <w:t>违法行为持续时间较短，在案发前</w:t>
      </w:r>
      <w:r>
        <w:rPr>
          <w:rFonts w:hint="eastAsia" w:ascii="仿宋_GB2312" w:hAnsi="仿宋_GB2312" w:eastAsia="仿宋_GB2312" w:cs="仿宋_GB2312"/>
          <w:b w:val="0"/>
          <w:bCs w:val="0"/>
          <w:sz w:val="32"/>
          <w:szCs w:val="32"/>
          <w:lang w:val="en-US" w:eastAsia="zh-CN"/>
        </w:rPr>
        <w:t>已下架涉案产品</w:t>
      </w:r>
      <w:r>
        <w:rPr>
          <w:rFonts w:hint="eastAsia" w:ascii="仿宋_GB2312" w:hAnsi="仿宋_GB2312" w:eastAsia="仿宋_GB2312" w:cs="仿宋_GB2312"/>
          <w:b w:val="0"/>
          <w:bCs w:val="0"/>
          <w:sz w:val="32"/>
          <w:szCs w:val="32"/>
        </w:rPr>
        <w:t>，消除违法行为危害后果，案发后能积极配合执法人员调查，故本局依据《中华人民共和国行政处罚法》第三十二条第一项“当事人有下列情形之一，应当从轻或者减轻行政处罚：（一）主动消除或者减轻违法行为危害后果的”的规定，对</w:t>
      </w:r>
      <w:r>
        <w:rPr>
          <w:rFonts w:hint="eastAsia" w:ascii="仿宋_GB2312" w:hAnsi="仿宋_GB2312" w:eastAsia="仿宋_GB2312" w:cs="仿宋_GB2312"/>
          <w:b w:val="0"/>
          <w:bCs w:val="0"/>
          <w:sz w:val="32"/>
          <w:szCs w:val="32"/>
          <w:lang w:eastAsia="zh-CN"/>
        </w:rPr>
        <w:t>当事人</w:t>
      </w:r>
      <w:r>
        <w:rPr>
          <w:rFonts w:hint="eastAsia" w:ascii="仿宋_GB2312" w:hAnsi="仿宋_GB2312" w:eastAsia="仿宋_GB2312" w:cs="仿宋_GB2312"/>
          <w:b w:val="0"/>
          <w:bCs w:val="0"/>
          <w:sz w:val="32"/>
          <w:szCs w:val="32"/>
        </w:rPr>
        <w:t>未经许可从事第三类医疗器械经营活动的违法行为减轻处罚；依据《中华人民共和国行政处罚法》第五条第二项“设定和实施行政处罚必须以事实为依据，与违法行为的事实、性质、情节以及社会危害程度相当”的规定，对</w:t>
      </w:r>
      <w:r>
        <w:rPr>
          <w:rFonts w:hint="eastAsia" w:ascii="仿宋_GB2312" w:hAnsi="仿宋_GB2312" w:eastAsia="仿宋_GB2312" w:cs="仿宋_GB2312"/>
          <w:b w:val="0"/>
          <w:bCs w:val="0"/>
          <w:sz w:val="32"/>
          <w:szCs w:val="32"/>
          <w:lang w:eastAsia="zh-CN"/>
        </w:rPr>
        <w:t>当事人</w:t>
      </w:r>
      <w:r>
        <w:rPr>
          <w:rFonts w:hint="eastAsia" w:ascii="仿宋_GB2312" w:hAnsi="仿宋_GB2312" w:eastAsia="仿宋_GB2312" w:cs="仿宋_GB2312"/>
          <w:b w:val="0"/>
          <w:bCs w:val="0"/>
          <w:sz w:val="32"/>
          <w:szCs w:val="32"/>
        </w:rPr>
        <w:t>经营标签不符合规定的医疗器械的违法行为不予行政处罚。</w:t>
      </w:r>
    </w:p>
    <w:p w14:paraId="2254583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当事人</w:t>
      </w:r>
      <w:r>
        <w:rPr>
          <w:rFonts w:hint="eastAsia" w:ascii="仿宋_GB2312" w:hAnsi="仿宋_GB2312" w:eastAsia="仿宋_GB2312" w:cs="仿宋_GB2312"/>
          <w:b w:val="0"/>
          <w:bCs w:val="0"/>
          <w:sz w:val="32"/>
          <w:szCs w:val="32"/>
        </w:rPr>
        <w:t>未经许可从事第三类医疗器械经营活动的违法行为，应依据</w:t>
      </w:r>
      <w:r>
        <w:rPr>
          <w:rFonts w:hint="eastAsia" w:ascii="仿宋_GB2312" w:hAnsi="仿宋_GB2312" w:eastAsia="仿宋_GB2312" w:cs="仿宋_GB2312"/>
          <w:b w:val="0"/>
          <w:bCs w:val="0"/>
          <w:sz w:val="32"/>
          <w:szCs w:val="32"/>
          <w:lang w:val="en-US" w:eastAsia="zh-CN"/>
        </w:rPr>
        <w:t>《医疗器械网络销售监督管理办法》第三十八条“</w:t>
      </w:r>
      <w:r>
        <w:rPr>
          <w:rFonts w:hint="eastAsia" w:ascii="仿宋_GB2312" w:hAnsi="仿宋_GB2312" w:eastAsia="仿宋_GB2312" w:cs="仿宋_GB2312"/>
          <w:b w:val="0"/>
          <w:bCs w:val="0"/>
          <w:sz w:val="32"/>
          <w:szCs w:val="32"/>
        </w:rPr>
        <w:t>违反本办法规定，未取得医疗器械经营许可从事网络第三类医疗器械销售的，依照《医疗器械监督管理条例》</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2017年版）</w:t>
      </w:r>
      <w:r>
        <w:rPr>
          <w:rFonts w:hint="eastAsia" w:ascii="仿宋_GB2312" w:hAnsi="仿宋_GB2312" w:eastAsia="仿宋_GB2312" w:cs="仿宋_GB2312"/>
          <w:b w:val="0"/>
          <w:bCs w:val="0"/>
          <w:sz w:val="32"/>
          <w:szCs w:val="32"/>
        </w:rPr>
        <w:t>第六十三条的规定予以处罚</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《医疗器械监督管理条例》</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2021年版）</w:t>
      </w:r>
      <w:r>
        <w:rPr>
          <w:rFonts w:hint="eastAsia" w:ascii="仿宋_GB2312" w:hAnsi="仿宋_GB2312" w:eastAsia="仿宋_GB2312" w:cs="仿宋_GB2312"/>
          <w:b w:val="0"/>
          <w:bCs w:val="0"/>
          <w:sz w:val="32"/>
          <w:szCs w:val="32"/>
        </w:rPr>
        <w:t>第八十一条第一款第三项“有下列情形之一的，由负责药品监督管理的部门没收违法所得、违法生产经营的医疗器械和用于违法生产经营的工具、设备、原材料等物品；违法生产经营的医疗器械货值金额不足1万元的，并处5万元以上15万元以下罚款……（三）未经许可从事第三类医疗器械经营活动”的规定给予处罚。结合自由裁量，本局</w:t>
      </w:r>
      <w:r>
        <w:rPr>
          <w:rFonts w:hint="eastAsia" w:ascii="仿宋_GB2312" w:hAnsi="仿宋_GB2312" w:eastAsia="仿宋_GB2312" w:cs="仿宋_GB2312"/>
          <w:b w:val="0"/>
          <w:bCs w:val="0"/>
          <w:sz w:val="32"/>
          <w:szCs w:val="32"/>
          <w:lang w:val="en-US" w:eastAsia="zh-CN"/>
        </w:rPr>
        <w:t>决定</w:t>
      </w:r>
      <w:r>
        <w:rPr>
          <w:rFonts w:hint="eastAsia" w:ascii="仿宋_GB2312" w:hAnsi="仿宋_GB2312" w:eastAsia="仿宋_GB2312" w:cs="仿宋_GB2312"/>
          <w:b w:val="0"/>
          <w:bCs w:val="0"/>
          <w:sz w:val="32"/>
          <w:szCs w:val="32"/>
        </w:rPr>
        <w:t>对</w:t>
      </w:r>
      <w:r>
        <w:rPr>
          <w:rFonts w:hint="eastAsia" w:ascii="仿宋_GB2312" w:hAnsi="仿宋_GB2312" w:eastAsia="仿宋_GB2312" w:cs="仿宋_GB2312"/>
          <w:b w:val="0"/>
          <w:bCs w:val="0"/>
          <w:sz w:val="32"/>
          <w:szCs w:val="32"/>
          <w:lang w:eastAsia="zh-CN"/>
        </w:rPr>
        <w:t>当事人</w:t>
      </w:r>
      <w:r>
        <w:rPr>
          <w:rFonts w:hint="eastAsia" w:ascii="仿宋_GB2312" w:hAnsi="仿宋_GB2312" w:eastAsia="仿宋_GB2312" w:cs="仿宋_GB2312"/>
          <w:b w:val="0"/>
          <w:bCs w:val="0"/>
          <w:sz w:val="32"/>
          <w:szCs w:val="32"/>
        </w:rPr>
        <w:t>减轻处罚：没收违法所得</w:t>
      </w:r>
      <w:r>
        <w:rPr>
          <w:rFonts w:hint="eastAsia" w:ascii="仿宋_GB2312" w:hAnsi="仿宋_GB2312" w:eastAsia="仿宋_GB2312" w:cs="仿宋_GB2312"/>
          <w:b w:val="0"/>
          <w:bCs w:val="0"/>
          <w:sz w:val="32"/>
          <w:szCs w:val="32"/>
          <w:lang w:val="en-US" w:eastAsia="zh-CN"/>
        </w:rPr>
        <w:t>432</w:t>
      </w:r>
      <w:r>
        <w:rPr>
          <w:rFonts w:hint="eastAsia" w:ascii="仿宋_GB2312" w:hAnsi="仿宋_GB2312" w:eastAsia="仿宋_GB2312" w:cs="仿宋_GB2312"/>
          <w:b w:val="0"/>
          <w:bCs w:val="0"/>
          <w:sz w:val="32"/>
          <w:szCs w:val="32"/>
        </w:rPr>
        <w:t>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罚款1000元</w:t>
      </w:r>
      <w:r>
        <w:rPr>
          <w:rFonts w:hint="eastAsia" w:ascii="仿宋_GB2312" w:hAnsi="仿宋_GB2312" w:eastAsia="仿宋_GB2312" w:cs="仿宋_GB2312"/>
          <w:b w:val="0"/>
          <w:bCs w:val="0"/>
          <w:sz w:val="32"/>
          <w:szCs w:val="32"/>
        </w:rPr>
        <w:t>。</w:t>
      </w:r>
    </w:p>
    <w:p w14:paraId="0264154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当事人</w:t>
      </w:r>
      <w:r>
        <w:rPr>
          <w:rFonts w:hint="eastAsia" w:ascii="仿宋_GB2312" w:hAnsi="仿宋_GB2312" w:eastAsia="仿宋_GB2312" w:cs="仿宋_GB2312"/>
          <w:b w:val="0"/>
          <w:bCs w:val="0"/>
          <w:sz w:val="32"/>
          <w:szCs w:val="32"/>
        </w:rPr>
        <w:t>经营标签不符合规定的医疗器械的违法行为，应依据《医疗器械监督管理条例》第八十八条第二项“有下列情形之一的，由负责药品监督管理的部门责令改正，处1万元以上5万元以下罚款……（二）生产、经营说明书、标签不符合本条例规定的医疗器械”的规定给予处罚。结合自由裁量理由，本局</w:t>
      </w:r>
      <w:r>
        <w:rPr>
          <w:rFonts w:hint="eastAsia" w:ascii="仿宋_GB2312" w:hAnsi="仿宋_GB2312" w:eastAsia="仿宋_GB2312" w:cs="仿宋_GB2312"/>
          <w:b w:val="0"/>
          <w:bCs w:val="0"/>
          <w:sz w:val="32"/>
          <w:szCs w:val="32"/>
          <w:lang w:val="en-US" w:eastAsia="zh-CN"/>
        </w:rPr>
        <w:t>决定</w:t>
      </w:r>
      <w:r>
        <w:rPr>
          <w:rFonts w:hint="eastAsia" w:ascii="仿宋_GB2312" w:hAnsi="仿宋_GB2312" w:eastAsia="仿宋_GB2312" w:cs="仿宋_GB2312"/>
          <w:b w:val="0"/>
          <w:bCs w:val="0"/>
          <w:sz w:val="32"/>
          <w:szCs w:val="32"/>
        </w:rPr>
        <w:t>对</w:t>
      </w:r>
      <w:r>
        <w:rPr>
          <w:rFonts w:hint="eastAsia" w:ascii="仿宋_GB2312" w:hAnsi="仿宋_GB2312" w:eastAsia="仿宋_GB2312" w:cs="仿宋_GB2312"/>
          <w:b w:val="0"/>
          <w:bCs w:val="0"/>
          <w:sz w:val="32"/>
          <w:szCs w:val="32"/>
          <w:lang w:eastAsia="zh-CN"/>
        </w:rPr>
        <w:t>当事人</w:t>
      </w:r>
      <w:r>
        <w:rPr>
          <w:rFonts w:hint="eastAsia" w:ascii="仿宋_GB2312" w:hAnsi="仿宋_GB2312" w:eastAsia="仿宋_GB2312" w:cs="仿宋_GB2312"/>
          <w:b w:val="0"/>
          <w:bCs w:val="0"/>
          <w:sz w:val="32"/>
          <w:szCs w:val="32"/>
        </w:rPr>
        <w:t>不予处罚。</w:t>
      </w:r>
    </w:p>
    <w:p w14:paraId="6E8157C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同时，依据《中华人民共和国行政处罚法》第二十八条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行政机关实施行政处罚时，应当责令当事人改正或者限期改正违法行为</w:t>
      </w:r>
      <w:r>
        <w:rPr>
          <w:rFonts w:hint="eastAsia" w:ascii="仿宋_GB2312" w:hAnsi="仿宋_GB2312" w:eastAsia="仿宋_GB2312" w:cs="仿宋_GB2312"/>
          <w:b w:val="0"/>
          <w:bCs w:val="0"/>
          <w:sz w:val="32"/>
          <w:szCs w:val="32"/>
          <w:lang w:val="en-US" w:eastAsia="zh-CN"/>
        </w:rPr>
        <w:t>”的规定，本局责令当事人立即改正所有违法行为。</w:t>
      </w:r>
    </w:p>
    <w:p w14:paraId="44299FE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综上，当事人上述行为违反了《医疗器械网络销售监督管理办法》第七条第一款、</w:t>
      </w:r>
      <w:r>
        <w:rPr>
          <w:rFonts w:hint="eastAsia" w:ascii="仿宋_GB2312" w:hAnsi="仿宋_GB2312" w:eastAsia="仿宋_GB2312" w:cs="仿宋_GB2312"/>
          <w:b w:val="0"/>
          <w:bCs w:val="0"/>
          <w:sz w:val="32"/>
          <w:szCs w:val="32"/>
        </w:rPr>
        <w:t>《医疗器械监督管理条例》第五十七条第二款</w:t>
      </w:r>
      <w:r>
        <w:rPr>
          <w:rFonts w:hint="eastAsia" w:ascii="仿宋_GB2312" w:hAnsi="仿宋_GB2312" w:eastAsia="仿宋_GB2312" w:cs="仿宋_GB2312"/>
          <w:b w:val="0"/>
          <w:bCs w:val="0"/>
          <w:sz w:val="32"/>
          <w:szCs w:val="32"/>
          <w:lang w:val="en-US" w:eastAsia="zh-CN"/>
        </w:rPr>
        <w:t>的规定，依据《医疗器械网络销售监督管理办法》第三十八条，</w:t>
      </w:r>
      <w:r>
        <w:rPr>
          <w:rFonts w:hint="eastAsia" w:ascii="仿宋_GB2312" w:hAnsi="仿宋_GB2312" w:eastAsia="仿宋_GB2312" w:cs="仿宋_GB2312"/>
          <w:b w:val="0"/>
          <w:bCs w:val="0"/>
          <w:sz w:val="32"/>
          <w:szCs w:val="32"/>
        </w:rPr>
        <w:t>《医疗器械监督管理条例》第八十八条第二项</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《中华人民共和国行政处罚法》第五条第二项</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第二十八条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第三十二条第一项</w:t>
      </w:r>
      <w:r>
        <w:rPr>
          <w:rFonts w:hint="eastAsia" w:ascii="仿宋_GB2312" w:hAnsi="仿宋_GB2312" w:eastAsia="仿宋_GB2312" w:cs="仿宋_GB2312"/>
          <w:b w:val="0"/>
          <w:bCs w:val="0"/>
          <w:sz w:val="32"/>
          <w:szCs w:val="32"/>
          <w:lang w:val="en-US" w:eastAsia="zh-CN"/>
        </w:rPr>
        <w:t>的规定，本局责令当事人立即改正所有违法行为，并决定对当事人处罚如下：</w:t>
      </w:r>
    </w:p>
    <w:p w14:paraId="61C69636">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1.没收违法所得432元；</w:t>
      </w:r>
    </w:p>
    <w:p w14:paraId="08E8333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2.罚款1000元。</w:t>
      </w:r>
    </w:p>
    <w:p w14:paraId="244AE2D1">
      <w:pPr>
        <w:pStyle w:val="2"/>
        <w:keepNext w:val="0"/>
        <w:keepLines w:val="0"/>
        <w:pageBreakBefore w:val="0"/>
        <w:widowControl w:val="0"/>
        <w:tabs>
          <w:tab w:val="left" w:pos="9060"/>
        </w:tabs>
        <w:kinsoku/>
        <w:wordWrap/>
        <w:overflowPunct/>
        <w:topLinePunct w:val="0"/>
        <w:bidi w:val="0"/>
        <w:snapToGrid/>
        <w:spacing w:line="520" w:lineRule="exact"/>
        <w:ind w:firstLine="640" w:firstLineChars="200"/>
        <w:jc w:val="both"/>
        <w:textAlignment w:val="auto"/>
        <w:rPr>
          <w:rFonts w:hint="eastAsia" w:ascii="仿宋_GB2312" w:hAnsi="仿宋_GB2312" w:eastAsia="仿宋_GB2312" w:cs="仿宋_GB2312"/>
          <w:b w:val="0"/>
          <w:bCs w:val="0"/>
          <w:color w:val="000000"/>
          <w:u w:val="single"/>
        </w:rPr>
      </w:pPr>
      <w:r>
        <w:rPr>
          <w:rFonts w:hint="eastAsia" w:ascii="仿宋_GB2312" w:hAnsi="仿宋_GB2312" w:eastAsia="仿宋_GB2312" w:cs="仿宋_GB2312"/>
          <w:b w:val="0"/>
          <w:bCs w:val="0"/>
          <w:color w:val="000000"/>
        </w:rPr>
        <w:t>当事人应自收到本处罚决定书之日起十五日内（末日为法定节假日顺延）将罚没款缴到苏州工业园区中国建设银行全辖网点。逾期不缴纳罚款的，根据《中华人民共和国行政处罚法》第</w:t>
      </w:r>
      <w:r>
        <w:rPr>
          <w:rFonts w:hint="eastAsia" w:ascii="仿宋_GB2312" w:hAnsi="仿宋_GB2312" w:eastAsia="仿宋_GB2312" w:cs="仿宋_GB2312"/>
          <w:b w:val="0"/>
          <w:bCs w:val="0"/>
        </w:rPr>
        <w:t>七十二</w:t>
      </w:r>
      <w:r>
        <w:rPr>
          <w:rFonts w:hint="eastAsia" w:ascii="仿宋_GB2312" w:hAnsi="仿宋_GB2312" w:eastAsia="仿宋_GB2312" w:cs="仿宋_GB2312"/>
          <w:b w:val="0"/>
          <w:bCs w:val="0"/>
          <w:color w:val="000000"/>
        </w:rPr>
        <w:t>条和《中华人民共和国行政强制法》第四十五条的规定，每日按罚款数额的百分之三加处罚款</w:t>
      </w:r>
      <w:r>
        <w:rPr>
          <w:rFonts w:hint="eastAsia" w:ascii="仿宋_GB2312" w:hAnsi="仿宋_GB2312" w:eastAsia="仿宋_GB2312" w:cs="仿宋_GB2312"/>
          <w:b w:val="0"/>
          <w:bCs w:val="0"/>
          <w:color w:val="000000"/>
          <w:lang w:eastAsia="zh-CN"/>
        </w:rPr>
        <w:t>（</w:t>
      </w:r>
      <w:r>
        <w:rPr>
          <w:rFonts w:hint="eastAsia" w:ascii="仿宋_GB2312" w:hAnsi="仿宋_GB2312" w:eastAsia="仿宋_GB2312" w:cs="仿宋_GB2312"/>
          <w:b w:val="0"/>
          <w:bCs w:val="0"/>
          <w:color w:val="000000"/>
        </w:rPr>
        <w:t>加处罚款数额不超出罚款数额</w:t>
      </w:r>
      <w:r>
        <w:rPr>
          <w:rFonts w:hint="eastAsia" w:ascii="仿宋_GB2312" w:hAnsi="仿宋_GB2312" w:eastAsia="仿宋_GB2312" w:cs="仿宋_GB2312"/>
          <w:b w:val="0"/>
          <w:bCs w:val="0"/>
          <w:color w:val="000000"/>
          <w:lang w:eastAsia="zh-CN"/>
        </w:rPr>
        <w:t>）</w:t>
      </w:r>
      <w:r>
        <w:rPr>
          <w:rFonts w:hint="eastAsia" w:ascii="仿宋_GB2312" w:hAnsi="仿宋_GB2312" w:eastAsia="仿宋_GB2312" w:cs="仿宋_GB2312"/>
          <w:b w:val="0"/>
          <w:bCs w:val="0"/>
          <w:color w:val="000000"/>
        </w:rPr>
        <w:t>，并将依法申请人民法院强制执行。</w:t>
      </w:r>
    </w:p>
    <w:p w14:paraId="46EDB40F">
      <w:pPr>
        <w:keepNext w:val="0"/>
        <w:keepLines w:val="0"/>
        <w:pageBreakBefore w:val="0"/>
        <w:widowControl w:val="0"/>
        <w:kinsoku/>
        <w:wordWrap/>
        <w:overflowPunct/>
        <w:topLinePunct w:val="0"/>
        <w:bidi w:val="0"/>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当事人如对本行政处罚决定不服，可于收到本决定书之日起六十日内向苏州工业园区管理委员会申请复议，也可以于六个月内依法向苏州市吴中区人民法院提起诉讼。</w:t>
      </w:r>
      <w:r>
        <w:rPr>
          <w:rFonts w:hint="eastAsia" w:ascii="仿宋_GB2312" w:hAnsi="仿宋_GB2312" w:eastAsia="仿宋_GB2312" w:cs="仿宋_GB2312"/>
          <w:b w:val="0"/>
          <w:bCs w:val="0"/>
          <w:sz w:val="32"/>
          <w:szCs w:val="32"/>
        </w:rPr>
        <w:t>当事人对行政处罚决定不服申请行政复议或提起行政诉讼的，行政处罚不停止执行。</w:t>
      </w:r>
    </w:p>
    <w:p w14:paraId="0ABAA8B3">
      <w:pPr>
        <w:keepNext w:val="0"/>
        <w:keepLines w:val="0"/>
        <w:pageBreakBefore w:val="0"/>
        <w:widowControl w:val="0"/>
        <w:kinsoku/>
        <w:wordWrap/>
        <w:overflowPunct/>
        <w:topLinePunct w:val="0"/>
        <w:bidi w:val="0"/>
        <w:snapToGrid/>
        <w:spacing w:line="52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依据《中华人民共和国行政处罚法》第三十三条第三款的规定，对当事人进行教育，具体内容如下：</w:t>
      </w:r>
    </w:p>
    <w:p w14:paraId="2F2B3215">
      <w:pPr>
        <w:keepNext w:val="0"/>
        <w:keepLines w:val="0"/>
        <w:pageBreakBefore w:val="0"/>
        <w:widowControl w:val="0"/>
        <w:numPr>
          <w:ilvl w:val="0"/>
          <w:numId w:val="0"/>
        </w:numPr>
        <w:kinsoku/>
        <w:wordWrap/>
        <w:overflowPunct/>
        <w:topLinePunct w:val="0"/>
        <w:bidi w:val="0"/>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1.未取得医疗器械经营许可证不得销售第三类医疗器械；</w:t>
      </w:r>
    </w:p>
    <w:p w14:paraId="6CA7E9F0">
      <w:pPr>
        <w:keepNext w:val="0"/>
        <w:keepLines w:val="0"/>
        <w:pageBreakBefore w:val="0"/>
        <w:widowControl w:val="0"/>
        <w:numPr>
          <w:ilvl w:val="0"/>
          <w:numId w:val="0"/>
        </w:numPr>
        <w:kinsoku/>
        <w:wordWrap/>
        <w:overflowPunct/>
        <w:topLinePunct w:val="0"/>
        <w:bidi w:val="0"/>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2.应从有资质的单位购进医疗器械；</w:t>
      </w:r>
    </w:p>
    <w:p w14:paraId="2D16C8FC">
      <w:pPr>
        <w:keepNext w:val="0"/>
        <w:keepLines w:val="0"/>
        <w:pageBreakBefore w:val="0"/>
        <w:widowControl w:val="0"/>
        <w:numPr>
          <w:ilvl w:val="0"/>
          <w:numId w:val="0"/>
        </w:numPr>
        <w:kinsoku/>
        <w:wordWrap/>
        <w:overflowPunct/>
        <w:topLinePunct w:val="0"/>
        <w:bidi w:val="0"/>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3.购进的医疗器械标签应符合相关规定。</w:t>
      </w:r>
    </w:p>
    <w:p w14:paraId="3560415B">
      <w:pPr>
        <w:keepNext w:val="0"/>
        <w:keepLines w:val="0"/>
        <w:pageBreakBefore w:val="0"/>
        <w:widowControl w:val="0"/>
        <w:kinsoku/>
        <w:wordWrap/>
        <w:overflowPunct/>
        <w:topLinePunct w:val="0"/>
        <w:bidi w:val="0"/>
        <w:snapToGrid/>
        <w:spacing w:line="520" w:lineRule="exact"/>
        <w:ind w:firstLine="640" w:firstLineChars="200"/>
        <w:jc w:val="right"/>
        <w:textAlignment w:val="auto"/>
        <w:rPr>
          <w:rFonts w:hint="eastAsia" w:ascii="仿宋_GB2312" w:hAnsi="仿宋_GB2312" w:eastAsia="仿宋_GB2312" w:cs="仿宋_GB2312"/>
          <w:sz w:val="32"/>
          <w:szCs w:val="32"/>
        </w:rPr>
      </w:pPr>
    </w:p>
    <w:p w14:paraId="1BCCF116">
      <w:pPr>
        <w:keepNext w:val="0"/>
        <w:keepLines w:val="0"/>
        <w:pageBreakBefore w:val="0"/>
        <w:widowControl w:val="0"/>
        <w:kinsoku/>
        <w:wordWrap/>
        <w:overflowPunct/>
        <w:topLinePunct w:val="0"/>
        <w:bidi w:val="0"/>
        <w:snapToGrid/>
        <w:spacing w:line="52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苏州工业园区市场监督管理局</w:t>
      </w:r>
    </w:p>
    <w:p w14:paraId="0E383CD4">
      <w:pPr>
        <w:spacing w:line="560" w:lineRule="exact"/>
        <w:ind w:firstLine="640" w:firstLineChars="200"/>
        <w:jc w:val="right"/>
        <w:rPr>
          <w:rFonts w:ascii="仿宋" w:hAnsi="仿宋" w:eastAsia="仿宋" w:cs="仿宋"/>
          <w:sz w:val="32"/>
          <w:szCs w:val="32"/>
        </w:rPr>
      </w:pPr>
      <w:r>
        <w:rPr>
          <w:rFonts w:hint="eastAsia" w:ascii="仿宋_GB2312" w:hAnsi="仿宋_GB2312" w:eastAsia="仿宋_GB2312" w:cs="仿宋_GB2312"/>
          <w:sz w:val="32"/>
          <w:szCs w:val="32"/>
        </w:rPr>
        <w:t>二〇二</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十</w:t>
      </w:r>
      <w:r>
        <w:rPr>
          <w:rFonts w:hint="eastAsia" w:ascii="仿宋_GB2312" w:hAnsi="仿宋_GB2312" w:eastAsia="仿宋_GB2312" w:cs="仿宋_GB2312"/>
          <w:sz w:val="32"/>
          <w:szCs w:val="32"/>
        </w:rPr>
        <w:t>日</w:t>
      </w:r>
    </w:p>
    <w:p w14:paraId="2E63844C">
      <w:pPr>
        <w:spacing w:line="560" w:lineRule="exact"/>
        <w:ind w:firstLine="640" w:firstLineChars="200"/>
        <w:rPr>
          <w:rFonts w:ascii="仿宋" w:hAnsi="仿宋" w:eastAsia="仿宋" w:cs="仿宋"/>
          <w:sz w:val="32"/>
          <w:szCs w:val="32"/>
        </w:rPr>
      </w:pPr>
    </w:p>
    <w:p w14:paraId="77C11FB9">
      <w:pPr>
        <w:spacing w:line="560" w:lineRule="exact"/>
        <w:rPr>
          <w:rFonts w:ascii="仿宋" w:hAnsi="仿宋" w:eastAsia="仿宋" w:cs="仿宋"/>
          <w:sz w:val="32"/>
          <w:szCs w:val="32"/>
        </w:rPr>
      </w:pPr>
    </w:p>
    <w:p w14:paraId="4A1E41BC">
      <w:pPr>
        <w:spacing w:line="560" w:lineRule="exact"/>
        <w:ind w:firstLine="640" w:firstLineChars="200"/>
        <w:rPr>
          <w:rFonts w:ascii="仿宋" w:hAnsi="仿宋" w:eastAsia="仿宋" w:cs="仿宋"/>
          <w:sz w:val="32"/>
          <w:szCs w:val="32"/>
        </w:rPr>
      </w:pPr>
    </w:p>
    <w:p w14:paraId="09F7C3DC">
      <w:pPr>
        <w:spacing w:line="560" w:lineRule="exact"/>
        <w:ind w:firstLine="640" w:firstLineChars="200"/>
        <w:rPr>
          <w:rFonts w:ascii="仿宋" w:hAnsi="仿宋" w:eastAsia="仿宋" w:cs="仿宋"/>
          <w:sz w:val="32"/>
          <w:szCs w:val="32"/>
        </w:rPr>
      </w:pPr>
    </w:p>
    <w:p w14:paraId="4328ED24">
      <w:pPr>
        <w:spacing w:line="560" w:lineRule="exact"/>
        <w:ind w:firstLine="640" w:firstLineChars="200"/>
        <w:rPr>
          <w:rFonts w:ascii="仿宋" w:hAnsi="仿宋" w:eastAsia="仿宋" w:cs="仿宋"/>
          <w:sz w:val="32"/>
          <w:szCs w:val="32"/>
        </w:rPr>
      </w:pPr>
    </w:p>
    <w:p w14:paraId="539F2731">
      <w:pPr>
        <w:spacing w:line="560" w:lineRule="exact"/>
        <w:ind w:firstLine="640" w:firstLineChars="200"/>
        <w:rPr>
          <w:rFonts w:ascii="仿宋" w:hAnsi="仿宋" w:eastAsia="仿宋" w:cs="仿宋"/>
          <w:sz w:val="32"/>
          <w:szCs w:val="32"/>
        </w:rPr>
      </w:pPr>
    </w:p>
    <w:p w14:paraId="4D5662CC">
      <w:pPr>
        <w:spacing w:line="560" w:lineRule="exact"/>
        <w:ind w:firstLine="640" w:firstLineChars="200"/>
        <w:rPr>
          <w:rFonts w:ascii="仿宋" w:hAnsi="仿宋" w:eastAsia="仿宋" w:cs="仿宋"/>
          <w:sz w:val="32"/>
          <w:szCs w:val="32"/>
        </w:rPr>
      </w:pPr>
    </w:p>
    <w:p w14:paraId="25CE8B72">
      <w:pPr>
        <w:spacing w:line="560" w:lineRule="exact"/>
        <w:ind w:firstLine="640" w:firstLineChars="200"/>
        <w:rPr>
          <w:rFonts w:ascii="仿宋" w:hAnsi="仿宋" w:eastAsia="仿宋" w:cs="仿宋"/>
          <w:sz w:val="32"/>
          <w:szCs w:val="32"/>
        </w:rPr>
      </w:pPr>
    </w:p>
    <w:p w14:paraId="70DCE828">
      <w:pPr>
        <w:pStyle w:val="2"/>
        <w:spacing w:before="1"/>
        <w:ind w:left="163"/>
        <w:jc w:val="center"/>
        <w:rPr>
          <w:rFonts w:ascii="黑体" w:hAnsi="黑体" w:eastAsia="黑体"/>
          <w:spacing w:val="-16"/>
        </w:rPr>
      </w:pPr>
      <w:r>
        <w:rPr>
          <w:rFonts w:hint="eastAsia" w:ascii="黑体" w:hAnsi="黑体" w:eastAsia="黑体"/>
          <w:color w:val="231F20"/>
          <w:spacing w:val="-16"/>
        </w:rPr>
        <w:t>（市场监督管理部门将依法向社会公开行政处罚决定信息）</w:t>
      </w:r>
    </w:p>
    <w:p w14:paraId="51ECCC71">
      <w:pPr>
        <w:spacing w:line="560" w:lineRule="exact"/>
        <w:ind w:firstLine="640" w:firstLineChars="200"/>
        <w:jc w:val="center"/>
        <w:rPr>
          <w:rFonts w:ascii="仿宋" w:hAnsi="仿宋" w:eastAsia="仿宋" w:cs="仿宋"/>
          <w:sz w:val="32"/>
          <w:szCs w:val="32"/>
        </w:rPr>
      </w:pPr>
      <w:r>
        <w:rPr>
          <w:rFonts w:ascii="仿宋" w:hAnsi="仿宋" w:eastAsia="仿宋" w:cs="仿宋"/>
          <w:sz w:val="32"/>
          <w:szCs w:val="32"/>
        </w:rPr>
        <mc:AlternateContent>
          <mc:Choice Requires="wps">
            <w:drawing>
              <wp:anchor distT="0" distB="0" distL="114300" distR="114300" simplePos="0" relativeHeight="251660288" behindDoc="0" locked="0" layoutInCell="1" allowOverlap="1">
                <wp:simplePos x="0" y="0"/>
                <wp:positionH relativeFrom="column">
                  <wp:posOffset>-141605</wp:posOffset>
                </wp:positionH>
                <wp:positionV relativeFrom="paragraph">
                  <wp:posOffset>104140</wp:posOffset>
                </wp:positionV>
                <wp:extent cx="5550535" cy="635"/>
                <wp:effectExtent l="0" t="0" r="12065" b="18415"/>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5550535" cy="635"/>
                        </a:xfrm>
                        <a:prstGeom prst="line">
                          <a:avLst/>
                        </a:prstGeom>
                        <a:noFill/>
                        <a:ln w="15875">
                          <a:solidFill>
                            <a:srgbClr val="000000"/>
                          </a:solidFill>
                          <a:round/>
                        </a:ln>
                      </wps:spPr>
                      <wps:bodyPr/>
                    </wps:wsp>
                  </a:graphicData>
                </a:graphic>
              </wp:anchor>
            </w:drawing>
          </mc:Choice>
          <mc:Fallback>
            <w:pict>
              <v:line id="_x0000_s1026" o:spid="_x0000_s1026" o:spt="20" style="position:absolute;left:0pt;margin-left:-11.15pt;margin-top:8.2pt;height:0.05pt;width:437.05pt;z-index:251660288;mso-width-relative:page;mso-height-relative:page;" filled="f" stroked="t" coordsize="21600,21600" o:gfxdata="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pdESNNgA&#10;AAAJAQAADwAAAAAAAAABACAAAAAiAAAAZHJzL2Rvd25yZXYueG1sUEsBAhQAFAAAAAgAh07iQDsU&#10;0kjmAQAArQMAAA4AAAAAAAAAAQAgAAAAJwEAAGRycy9lMm9Eb2MueG1sUEsFBgAAAAAGAAYAWQEA&#10;AH8FAAAAAA==&#10;">
                <v:fill on="f" focussize="0,0"/>
                <v:stroke weight="1.25pt" color="#000000" joinstyle="round"/>
                <v:imagedata o:title=""/>
                <o:lock v:ext="edit" aspectratio="f"/>
              </v:line>
            </w:pict>
          </mc:Fallback>
        </mc:AlternateContent>
      </w:r>
      <w:r>
        <w:rPr>
          <w:rFonts w:ascii="仿宋" w:hAnsi="仿宋" w:eastAsia="仿宋" w:cs="仿宋"/>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20807045</wp:posOffset>
                </wp:positionV>
                <wp:extent cx="5762625" cy="1270"/>
                <wp:effectExtent l="19050" t="19050" r="9525" b="1778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762625" cy="1270"/>
                        </a:xfrm>
                        <a:prstGeom prst="line">
                          <a:avLst/>
                        </a:prstGeom>
                        <a:noFill/>
                        <a:ln w="9360" cap="sq">
                          <a:solidFill>
                            <a:srgbClr val="000000"/>
                          </a:solidFill>
                          <a:round/>
                        </a:ln>
                      </wps:spPr>
                      <wps:bodyPr/>
                    </wps:wsp>
                  </a:graphicData>
                </a:graphic>
              </wp:anchor>
            </w:drawing>
          </mc:Choice>
          <mc:Fallback>
            <w:pict>
              <v:line id="_x0000_s1026" o:spid="_x0000_s1026"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L7/OR1wAAAAoBAAAPAAAAAAAAAAEAIAAAACIAAABkcnMvZG93bnJldi54bWxQSwECFAAUAAAA&#10;CACHTuJAF6tcde8BAAC2AwAADgAAAAAAAAABACAAAAAmAQAAZHJzL2Uyb0RvYy54bWxQSwUGAAAA&#10;AAYABgBZAQAAhwUAAAAA&#10;">
                <v:fill on="f" focussize="0,0"/>
                <v:stroke weight="0.737007874015748pt" color="#000000" joinstyle="round" endcap="square"/>
                <v:imagedata o:title=""/>
                <o:lock v:ext="edit" aspectratio="f"/>
              </v:line>
            </w:pict>
          </mc:Fallback>
        </mc:AlternateContent>
      </w:r>
      <w:r>
        <w:rPr>
          <w:rFonts w:hint="eastAsia" w:ascii="仿宋" w:hAnsi="仿宋" w:eastAsia="仿宋" w:cs="仿宋"/>
          <w:sz w:val="32"/>
          <w:szCs w:val="32"/>
        </w:rPr>
        <w:t>本文书一式两份，一份送达，一份归档。</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2A82530"/>
    <w:rsid w:val="1F7E47B2"/>
    <w:rsid w:val="5CB42D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link w:val="13"/>
    <w:qFormat/>
    <w:uiPriority w:val="1"/>
    <w:pPr>
      <w:autoSpaceDE w:val="0"/>
      <w:autoSpaceDN w:val="0"/>
      <w:adjustRightInd w:val="0"/>
      <w:jc w:val="left"/>
    </w:pPr>
    <w:rPr>
      <w:rFonts w:ascii="Arial Unicode MS" w:hAnsi="Times New Roman" w:eastAsia="Arial Unicode MS"/>
      <w:kern w:val="0"/>
      <w:sz w:val="32"/>
      <w:szCs w:val="32"/>
    </w:rPr>
  </w:style>
  <w:style w:type="paragraph" w:styleId="3">
    <w:name w:val="Date"/>
    <w:basedOn w:val="1"/>
    <w:next w:val="1"/>
    <w:link w:val="16"/>
    <w:unhideWhenUsed/>
    <w:qFormat/>
    <w:uiPriority w:val="99"/>
    <w:pPr>
      <w:ind w:left="100" w:leftChars="2500"/>
    </w:pPr>
  </w:style>
  <w:style w:type="paragraph" w:styleId="4">
    <w:name w:val="Balloon Text"/>
    <w:basedOn w:val="1"/>
    <w:link w:val="14"/>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jc w:val="left"/>
    </w:pPr>
    <w:rPr>
      <w:rFonts w:ascii="宋体" w:hAnsi="宋体" w:cs="宋体"/>
      <w:kern w:val="0"/>
      <w:sz w:val="24"/>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正文文本 Char"/>
    <w:basedOn w:val="9"/>
    <w:semiHidden/>
    <w:qFormat/>
    <w:uiPriority w:val="99"/>
    <w:rPr>
      <w:rFonts w:ascii="Calibri" w:hAnsi="Calibri" w:eastAsia="宋体" w:cs="Times New Roman"/>
      <w:szCs w:val="24"/>
    </w:rPr>
  </w:style>
  <w:style w:type="character" w:customStyle="1" w:styleId="13">
    <w:name w:val="正文文本 Char1"/>
    <w:link w:val="2"/>
    <w:qFormat/>
    <w:uiPriority w:val="1"/>
    <w:rPr>
      <w:rFonts w:ascii="Arial Unicode MS" w:hAnsi="Times New Roman" w:eastAsia="Arial Unicode MS" w:cs="Times New Roman"/>
      <w:kern w:val="0"/>
      <w:sz w:val="32"/>
      <w:szCs w:val="32"/>
    </w:rPr>
  </w:style>
  <w:style w:type="character" w:customStyle="1" w:styleId="14">
    <w:name w:val="批注框文本 Char"/>
    <w:basedOn w:val="9"/>
    <w:link w:val="4"/>
    <w:semiHidden/>
    <w:qFormat/>
    <w:uiPriority w:val="99"/>
    <w:rPr>
      <w:rFonts w:ascii="Calibri" w:hAnsi="Calibri" w:eastAsia="宋体" w:cs="Times New Roman"/>
      <w:sz w:val="18"/>
      <w:szCs w:val="18"/>
    </w:rPr>
  </w:style>
  <w:style w:type="paragraph" w:customStyle="1" w:styleId="15">
    <w:name w:val="List Paragraph"/>
    <w:basedOn w:val="1"/>
    <w:qFormat/>
    <w:uiPriority w:val="34"/>
    <w:pPr>
      <w:ind w:firstLine="420" w:firstLineChars="200"/>
    </w:pPr>
  </w:style>
  <w:style w:type="character" w:customStyle="1" w:styleId="16">
    <w:name w:val="日期 Char"/>
    <w:basedOn w:val="9"/>
    <w:link w:val="3"/>
    <w:semiHidden/>
    <w:qFormat/>
    <w:uiPriority w:val="99"/>
    <w:rPr>
      <w:rFonts w:ascii="Calibri" w:hAnsi="Calibri"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SIPAC</Company>
  <Pages>5</Pages>
  <Words>2498</Words>
  <Characters>2623</Characters>
  <Lines>15</Lines>
  <Paragraphs>4</Paragraphs>
  <TotalTime>22</TotalTime>
  <ScaleCrop>false</ScaleCrop>
  <LinksUpToDate>false</LinksUpToDate>
  <CharactersWithSpaces>2626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2024-04-23T10:25:00Z</dcterms:created>
  <dc:creator>ADMIN</dc:creator>
  <cp:lastModifiedBy>CCC</cp:lastModifiedBy>
  <cp:lastPrinted>2025-07-07T11:07:00Z</cp:lastPrinted>
  <dcterms:modified xsi:type="dcterms:W3CDTF">2025-09-22T06:40:54Z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2B6B893BC6FD45B3A4402F68B05E2A89_13</vt:lpwstr>
  </property>
  <property fmtid="{D5CDD505-2E9C-101B-9397-08002B2CF9AE}" pid="4" name="KSOTemplateDocerSaveRecord">
    <vt:lpwstr>eyJoZGlkIjoiMzI5ZDdhYWNiNzM1YjU2YTEyYmM1ZTk2NzZmNWJkMzMiLCJ1c2VySWQiOiIxMTI2OTU5NDc2In0=</vt:lpwstr>
  </property>
</Properties>
</file>